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595D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盐韭菜子配方颗粒</w:t>
      </w:r>
    </w:p>
    <w:p w14:paraId="6C89FB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en-US"/>
        </w:rPr>
      </w:pPr>
      <w:r>
        <w:rPr>
          <w:rFonts w:hint="default" w:ascii="Times New Roman" w:hAnsi="Times New Roman" w:eastAsia="宋体" w:cs="Times New Roman"/>
          <w:color w:val="auto"/>
          <w:kern w:val="2"/>
          <w:sz w:val="24"/>
          <w:szCs w:val="24"/>
          <w:lang w:val="en-US" w:eastAsia="en-US"/>
        </w:rPr>
        <w:t>Yanjiucaizi Peifangkeli</w:t>
      </w:r>
    </w:p>
    <w:p w14:paraId="1FEF1F8B">
      <w:pPr>
        <w:keepNext w:val="0"/>
        <w:keepLines w:val="0"/>
        <w:pageBreakBefore w:val="0"/>
        <w:kinsoku/>
        <w:wordWrap/>
        <w:overflowPunct/>
        <w:topLinePunct w:val="0"/>
        <w:autoSpaceDE/>
        <w:autoSpaceDN/>
        <w:bidi w:val="0"/>
        <w:adjustRightInd/>
        <w:snapToGrid/>
        <w:jc w:val="both"/>
        <w:textAlignment w:val="auto"/>
        <w:rPr>
          <w:rFonts w:hint="default" w:ascii="Times New Roman" w:hAnsi="Times New Roman" w:eastAsia="宋体" w:cs="Times New Roman"/>
          <w:sz w:val="21"/>
          <w:szCs w:val="21"/>
        </w:rPr>
      </w:pPr>
    </w:p>
    <w:p w14:paraId="102AA620">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【来源】</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本品为百合科植物韭菜</w:t>
      </w:r>
      <w:r>
        <w:rPr>
          <w:rFonts w:hint="default" w:ascii="Times New Roman" w:hAnsi="Times New Roman" w:eastAsia="宋体" w:cs="Times New Roman"/>
          <w:i/>
          <w:sz w:val="21"/>
          <w:szCs w:val="21"/>
        </w:rPr>
        <w:t>Allium tuberosum</w:t>
      </w:r>
      <w:r>
        <w:rPr>
          <w:rFonts w:hint="default" w:ascii="Times New Roman" w:hAnsi="Times New Roman" w:eastAsia="宋体" w:cs="Times New Roman"/>
          <w:sz w:val="21"/>
          <w:szCs w:val="21"/>
        </w:rPr>
        <w:t xml:space="preserve"> Rott</w:t>
      </w:r>
      <w:r>
        <w:rPr>
          <w:rFonts w:hint="default" w:ascii="Times New Roman" w:hAnsi="Times New Roman" w:eastAsia="宋体" w:cs="Times New Roman"/>
          <w:sz w:val="21"/>
          <w:szCs w:val="21"/>
        </w:rPr>
        <w:t>l</w:t>
      </w:r>
      <w:r>
        <w:rPr>
          <w:rFonts w:hint="default" w:ascii="Times New Roman" w:hAnsi="Times New Roman" w:eastAsia="宋体" w:cs="Times New Roman"/>
          <w:sz w:val="21"/>
          <w:szCs w:val="21"/>
        </w:rPr>
        <w:t xml:space="preserve">.ex Spreng.的干燥成熟种子经炮制并按标准汤剂的主要质量指标加工制成的配方颗粒。 </w:t>
      </w:r>
    </w:p>
    <w:p w14:paraId="1BC51DFC">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【制法】</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取盐韭菜子饮片7000g，加水煎煮，滤过，滤液浓缩成清膏（干浸膏出膏率为7%~1</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t>%），加辅料适量，干燥（或干燥、粉碎），再加辅料适量，混匀，制粒，制成1000g，即得。</w:t>
      </w:r>
    </w:p>
    <w:p w14:paraId="072DEF98">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【性状】</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本品为浅黄色至黄棕色颗粒；气特异，味微辛</w:t>
      </w:r>
      <w:r>
        <w:rPr>
          <w:rFonts w:hint="default" w:ascii="Times New Roman" w:hAnsi="Times New Roman" w:eastAsia="宋体" w:cs="Times New Roman"/>
          <w:kern w:val="0"/>
          <w:sz w:val="21"/>
          <w:szCs w:val="21"/>
        </w:rPr>
        <w:t>。</w:t>
      </w:r>
      <w:r>
        <w:rPr>
          <w:rFonts w:hint="default" w:ascii="Times New Roman" w:hAnsi="Times New Roman" w:eastAsia="宋体" w:cs="Times New Roman"/>
          <w:sz w:val="21"/>
          <w:szCs w:val="21"/>
        </w:rPr>
        <w:t xml:space="preserve"> </w:t>
      </w:r>
    </w:p>
    <w:p w14:paraId="2444D879">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【鉴别】</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取本品0.5g，研细，加水20ml，微热使溶解，冷却，用乙酸乙酯振摇提取2次，每次20ml，合并乙酸乙酯液，蒸干，残渣加0.5ml甲醇使溶解，作为供试品溶液。另取韭菜子对照药材</w:t>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t>g，加水50ml，加热回流30分钟，滤过，滤液浓缩至约20ml，</w:t>
      </w:r>
      <w:r>
        <w:rPr>
          <w:rFonts w:hint="default" w:ascii="Times New Roman" w:hAnsi="Times New Roman" w:eastAsia="宋体" w:cs="Times New Roman"/>
          <w:sz w:val="21"/>
          <w:szCs w:val="21"/>
        </w:rPr>
        <w:t>自</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用乙酸乙酯振摇提取</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起，</w:t>
      </w:r>
      <w:r>
        <w:rPr>
          <w:rFonts w:hint="default" w:ascii="Times New Roman" w:hAnsi="Times New Roman" w:eastAsia="宋体" w:cs="Times New Roman"/>
          <w:sz w:val="21"/>
          <w:szCs w:val="21"/>
        </w:rPr>
        <w:t>同法制成对照药材溶液。照薄层色谱法（中国药典2020年版通则0502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试验，吸取上述两种溶液各</w:t>
      </w:r>
      <w:r>
        <w:rPr>
          <w:rFonts w:hint="default" w:ascii="Times New Roman" w:hAnsi="Times New Roman" w:eastAsia="宋体" w:cs="Times New Roman"/>
          <w:sz w:val="21"/>
          <w:szCs w:val="21"/>
        </w:rPr>
        <w:t>12</w:t>
      </w:r>
      <w:r>
        <w:rPr>
          <w:rFonts w:hint="default" w:ascii="Times New Roman" w:hAnsi="Times New Roman" w:eastAsia="宋体" w:cs="Times New Roman"/>
          <w:sz w:val="21"/>
          <w:szCs w:val="21"/>
        </w:rPr>
        <w:t>µl，分别点于同一硅胶G薄层板上，以甲苯-乙酸乙酯-甲酸（7</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1）为展开剂，展开，取出，晾干，置紫外光灯（365nm) 下检视。供试品色谱中，在与对照药材色谱相应的位置上，显相同颜色的荧光主斑点。</w:t>
      </w:r>
    </w:p>
    <w:p w14:paraId="459D9737">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【特征图谱】</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 xml:space="preserve">照高效液相色谱法（中国药典2020年版通则0512）测定。 </w:t>
      </w:r>
    </w:p>
    <w:p w14:paraId="2A7B28F2">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色谱条件与系统适用性试验</w:t>
      </w:r>
      <w:r>
        <w:rPr>
          <w:rFonts w:hint="eastAsia" w:cs="Times New Roman"/>
          <w:sz w:val="21"/>
          <w:szCs w:val="21"/>
          <w:lang w:val="en-US" w:eastAsia="zh-CN"/>
        </w:rPr>
        <w:t xml:space="preserve"> </w:t>
      </w:r>
      <w:r>
        <w:rPr>
          <w:rFonts w:hint="default" w:ascii="Times New Roman" w:hAnsi="Times New Roman" w:eastAsia="宋体" w:cs="Times New Roman"/>
          <w:sz w:val="21"/>
          <w:szCs w:val="21"/>
        </w:rPr>
        <w:t>同</w:t>
      </w:r>
      <w:r>
        <w:rPr>
          <w:rFonts w:hint="eastAsia" w:cs="Times New Roman"/>
          <w:sz w:val="21"/>
          <w:szCs w:val="21"/>
          <w:lang w:eastAsia="zh-CN"/>
        </w:rPr>
        <w:t>【含量测定】</w:t>
      </w:r>
      <w:r>
        <w:rPr>
          <w:rFonts w:hint="default" w:ascii="Times New Roman" w:hAnsi="Times New Roman" w:eastAsia="宋体" w:cs="Times New Roman"/>
          <w:sz w:val="21"/>
          <w:szCs w:val="21"/>
        </w:rPr>
        <w:t>项。</w:t>
      </w:r>
    </w:p>
    <w:p w14:paraId="1BEE83C8">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参照物溶液的制备</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rPr>
        <w:t>取韭菜子对照药材</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rPr>
        <w:t>g</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置具塞锥形瓶中，</w:t>
      </w:r>
      <w:r>
        <w:rPr>
          <w:rFonts w:hint="default" w:ascii="Times New Roman" w:hAnsi="Times New Roman" w:eastAsia="宋体" w:cs="Times New Roman"/>
          <w:sz w:val="21"/>
          <w:szCs w:val="21"/>
        </w:rPr>
        <w:t>加</w:t>
      </w:r>
      <w:r>
        <w:rPr>
          <w:rFonts w:hint="default" w:ascii="Times New Roman" w:hAnsi="Times New Roman" w:eastAsia="宋体" w:cs="Times New Roman"/>
          <w:sz w:val="21"/>
          <w:szCs w:val="21"/>
        </w:rPr>
        <w:t>20%</w:t>
      </w:r>
      <w:r>
        <w:rPr>
          <w:rFonts w:hint="default" w:ascii="Times New Roman" w:hAnsi="Times New Roman" w:eastAsia="宋体" w:cs="Times New Roman"/>
          <w:sz w:val="21"/>
          <w:szCs w:val="21"/>
        </w:rPr>
        <w:t>甲醇</w:t>
      </w:r>
      <w:r>
        <w:rPr>
          <w:rFonts w:hint="default" w:ascii="Times New Roman" w:hAnsi="Times New Roman" w:eastAsia="宋体" w:cs="Times New Roman"/>
          <w:sz w:val="21"/>
          <w:szCs w:val="21"/>
        </w:rPr>
        <w:t>20ml</w:t>
      </w:r>
      <w:r>
        <w:rPr>
          <w:rFonts w:hint="default" w:ascii="Times New Roman" w:hAnsi="Times New Roman" w:eastAsia="宋体" w:cs="Times New Roman"/>
          <w:sz w:val="21"/>
          <w:szCs w:val="21"/>
        </w:rPr>
        <w:t>，超声处理（功率</w:t>
      </w:r>
      <w:r>
        <w:rPr>
          <w:rFonts w:hint="default" w:ascii="Times New Roman" w:hAnsi="Times New Roman" w:eastAsia="宋体" w:cs="Times New Roman"/>
          <w:sz w:val="21"/>
          <w:szCs w:val="21"/>
        </w:rPr>
        <w:t>600W</w:t>
      </w:r>
      <w:r>
        <w:rPr>
          <w:rFonts w:hint="default" w:ascii="Times New Roman" w:hAnsi="Times New Roman" w:eastAsia="宋体" w:cs="Times New Roman"/>
          <w:sz w:val="21"/>
          <w:szCs w:val="21"/>
        </w:rPr>
        <w:t>，频率</w:t>
      </w:r>
      <w:r>
        <w:rPr>
          <w:rFonts w:hint="default" w:ascii="Times New Roman" w:hAnsi="Times New Roman" w:eastAsia="宋体" w:cs="Times New Roman"/>
          <w:sz w:val="21"/>
          <w:szCs w:val="21"/>
        </w:rPr>
        <w:t>40kHz</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t>0</w:t>
      </w:r>
      <w:r>
        <w:rPr>
          <w:rFonts w:hint="default" w:ascii="Times New Roman" w:hAnsi="Times New Roman" w:eastAsia="宋体" w:cs="Times New Roman"/>
          <w:sz w:val="21"/>
          <w:szCs w:val="21"/>
        </w:rPr>
        <w:t>分钟，放冷，摇匀，滤过，取续滤液，作为对照药材参照物溶液。另</w:t>
      </w:r>
      <w:r>
        <w:rPr>
          <w:rFonts w:hint="default" w:ascii="Times New Roman" w:hAnsi="Times New Roman" w:eastAsia="宋体" w:cs="Times New Roman"/>
          <w:sz w:val="21"/>
          <w:szCs w:val="21"/>
        </w:rPr>
        <w:t>取</w:t>
      </w:r>
      <w:r>
        <w:rPr>
          <w:rFonts w:hint="default" w:ascii="Times New Roman" w:hAnsi="Times New Roman" w:eastAsia="宋体" w:cs="Times New Roman"/>
          <w:sz w:val="21"/>
          <w:szCs w:val="21"/>
          <w:lang w:val="en-US" w:eastAsia="zh-CN"/>
        </w:rPr>
        <w:t>尿苷</w:t>
      </w:r>
      <w:r>
        <w:rPr>
          <w:rFonts w:hint="default" w:ascii="Times New Roman" w:hAnsi="Times New Roman" w:eastAsia="宋体" w:cs="Times New Roman"/>
          <w:sz w:val="21"/>
          <w:szCs w:val="21"/>
        </w:rPr>
        <w:t>对照品</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鸟苷对照品适量，精密称定，加20%甲醇制成每1ml</w:t>
      </w:r>
      <w:r>
        <w:rPr>
          <w:rFonts w:hint="default" w:ascii="Times New Roman" w:hAnsi="Times New Roman" w:eastAsia="宋体" w:cs="Times New Roman"/>
          <w:sz w:val="21"/>
          <w:szCs w:val="21"/>
        </w:rPr>
        <w:t>各</w:t>
      </w:r>
      <w:r>
        <w:rPr>
          <w:rFonts w:hint="default" w:ascii="Times New Roman" w:hAnsi="Times New Roman" w:eastAsia="宋体" w:cs="Times New Roman"/>
          <w:sz w:val="21"/>
          <w:szCs w:val="21"/>
        </w:rPr>
        <w:t>含40μg的</w:t>
      </w:r>
      <w:r>
        <w:rPr>
          <w:rFonts w:hint="default" w:ascii="Times New Roman" w:hAnsi="Times New Roman" w:eastAsia="宋体" w:cs="Times New Roman"/>
          <w:sz w:val="21"/>
          <w:szCs w:val="21"/>
          <w:lang w:val="en-US" w:eastAsia="zh-CN"/>
        </w:rPr>
        <w:t>混合</w:t>
      </w:r>
      <w:r>
        <w:rPr>
          <w:rFonts w:hint="default" w:ascii="Times New Roman" w:hAnsi="Times New Roman" w:eastAsia="宋体" w:cs="Times New Roman"/>
          <w:sz w:val="21"/>
          <w:szCs w:val="21"/>
        </w:rPr>
        <w:t>溶液，</w:t>
      </w:r>
      <w:r>
        <w:rPr>
          <w:rFonts w:hint="default" w:ascii="Times New Roman" w:hAnsi="Times New Roman" w:eastAsia="宋体" w:cs="Times New Roman"/>
          <w:sz w:val="21"/>
          <w:szCs w:val="21"/>
        </w:rPr>
        <w:t>作为对照品参照物溶液</w:t>
      </w:r>
      <w:r>
        <w:rPr>
          <w:rFonts w:hint="default" w:ascii="Times New Roman" w:hAnsi="Times New Roman" w:eastAsia="宋体" w:cs="Times New Roman"/>
          <w:sz w:val="21"/>
          <w:szCs w:val="21"/>
        </w:rPr>
        <w:t>。</w:t>
      </w:r>
    </w:p>
    <w:p w14:paraId="0D40AF65">
      <w:pPr>
        <w:keepNext w:val="0"/>
        <w:keepLines w:val="0"/>
        <w:pageBreakBefore w:val="0"/>
        <w:widowControl/>
        <w:kinsoku/>
        <w:wordWrap/>
        <w:overflowPunct/>
        <w:topLinePunct w:val="0"/>
        <w:autoSpaceDE/>
        <w:autoSpaceDN/>
        <w:bidi w:val="0"/>
        <w:adjustRightInd/>
        <w:snapToGrid/>
        <w:ind w:firstLine="431"/>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sz w:val="21"/>
          <w:szCs w:val="21"/>
        </w:rPr>
        <w:t>供试品溶液的制备</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rPr>
        <w:t>同</w:t>
      </w:r>
      <w:r>
        <w:rPr>
          <w:rFonts w:hint="eastAsia" w:cs="Times New Roman"/>
          <w:sz w:val="21"/>
          <w:szCs w:val="21"/>
          <w:lang w:eastAsia="zh-CN"/>
        </w:rPr>
        <w:t>【含量测定】</w:t>
      </w:r>
      <w:r>
        <w:rPr>
          <w:rFonts w:hint="default" w:ascii="Times New Roman" w:hAnsi="Times New Roman" w:eastAsia="宋体" w:cs="Times New Roman"/>
          <w:sz w:val="21"/>
          <w:szCs w:val="21"/>
        </w:rPr>
        <w:t>项</w:t>
      </w:r>
      <w:r>
        <w:rPr>
          <w:rFonts w:hint="default" w:ascii="Times New Roman" w:hAnsi="Times New Roman" w:eastAsia="宋体" w:cs="Times New Roman"/>
          <w:color w:val="000000"/>
          <w:sz w:val="21"/>
          <w:szCs w:val="21"/>
        </w:rPr>
        <w:t>。</w:t>
      </w:r>
    </w:p>
    <w:p w14:paraId="60E9D28B">
      <w:pPr>
        <w:keepNext w:val="0"/>
        <w:keepLines w:val="0"/>
        <w:pageBreakBefore w:val="0"/>
        <w:widowControl/>
        <w:kinsoku/>
        <w:wordWrap/>
        <w:overflowPunct/>
        <w:topLinePunct w:val="0"/>
        <w:autoSpaceDE/>
        <w:autoSpaceDN/>
        <w:bidi w:val="0"/>
        <w:adjustRightInd/>
        <w:snapToGrid/>
        <w:ind w:firstLine="431"/>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测定法</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分别精密吸取参照物溶液与供试品溶液各</w:t>
      </w:r>
      <w:r>
        <w:rPr>
          <w:rFonts w:hint="default" w:ascii="Times New Roman" w:hAnsi="Times New Roman" w:eastAsia="宋体" w:cs="Times New Roman"/>
          <w:sz w:val="21"/>
          <w:szCs w:val="21"/>
        </w:rPr>
        <w:t>10μl</w:t>
      </w:r>
      <w:r>
        <w:rPr>
          <w:rFonts w:hint="default" w:ascii="Times New Roman" w:hAnsi="Times New Roman" w:eastAsia="宋体" w:cs="Times New Roman"/>
          <w:sz w:val="21"/>
          <w:szCs w:val="21"/>
        </w:rPr>
        <w:t>，注入液相色谱仪，测定，即得</w:t>
      </w:r>
      <w:r>
        <w:rPr>
          <w:rFonts w:hint="default" w:ascii="Times New Roman" w:hAnsi="Times New Roman" w:eastAsia="宋体" w:cs="Times New Roman"/>
          <w:sz w:val="21"/>
          <w:szCs w:val="21"/>
        </w:rPr>
        <w:t>。</w:t>
      </w:r>
    </w:p>
    <w:p w14:paraId="5D3416D2">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供试品色谱中应呈现</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个特征峰，并应与对照药材参照物色谱中的</w:t>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t>个特征峰</w:t>
      </w:r>
      <w:r>
        <w:rPr>
          <w:rFonts w:hint="default" w:ascii="Times New Roman" w:hAnsi="Times New Roman" w:eastAsia="宋体" w:cs="Times New Roman"/>
          <w:sz w:val="21"/>
          <w:szCs w:val="21"/>
        </w:rPr>
        <w:t>的</w:t>
      </w:r>
      <w:r>
        <w:rPr>
          <w:rFonts w:hint="default" w:ascii="Times New Roman" w:hAnsi="Times New Roman" w:eastAsia="宋体" w:cs="Times New Roman"/>
          <w:sz w:val="21"/>
          <w:szCs w:val="21"/>
        </w:rPr>
        <w:t>保留时间相对应，其中</w:t>
      </w:r>
      <w:r>
        <w:rPr>
          <w:rFonts w:hint="default" w:ascii="Times New Roman" w:hAnsi="Times New Roman" w:eastAsia="宋体" w:cs="Times New Roman"/>
          <w:sz w:val="21"/>
          <w:szCs w:val="21"/>
          <w:lang w:eastAsia="zh-CN"/>
        </w:rPr>
        <w:t>峰</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lang w:eastAsia="zh-CN"/>
        </w:rPr>
        <w:t>、峰</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rPr>
        <w:t>应分别与</w:t>
      </w:r>
      <w:r>
        <w:rPr>
          <w:rFonts w:hint="default" w:ascii="Times New Roman" w:hAnsi="Times New Roman" w:eastAsia="宋体" w:cs="Times New Roman"/>
          <w:sz w:val="21"/>
          <w:szCs w:val="21"/>
        </w:rPr>
        <w:t>相应</w:t>
      </w:r>
      <w:r>
        <w:rPr>
          <w:rFonts w:hint="default" w:ascii="Times New Roman" w:hAnsi="Times New Roman" w:eastAsia="宋体" w:cs="Times New Roman"/>
          <w:sz w:val="21"/>
          <w:szCs w:val="21"/>
        </w:rPr>
        <w:t>对照品参照物</w:t>
      </w:r>
      <w:r>
        <w:rPr>
          <w:rFonts w:hint="default" w:ascii="Times New Roman" w:hAnsi="Times New Roman" w:eastAsia="宋体" w:cs="Times New Roman"/>
          <w:sz w:val="21"/>
          <w:szCs w:val="21"/>
        </w:rPr>
        <w:t>峰的</w:t>
      </w:r>
      <w:r>
        <w:rPr>
          <w:rFonts w:hint="default" w:ascii="Times New Roman" w:hAnsi="Times New Roman" w:eastAsia="宋体" w:cs="Times New Roman"/>
          <w:sz w:val="21"/>
          <w:szCs w:val="21"/>
        </w:rPr>
        <w:t>保留时间相对应</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lang w:bidi="en-US"/>
        </w:rPr>
        <w:t>与</w:t>
      </w:r>
      <w:r>
        <w:rPr>
          <w:rFonts w:hint="default" w:ascii="Times New Roman" w:hAnsi="Times New Roman" w:eastAsia="宋体" w:cs="Times New Roman"/>
          <w:kern w:val="0"/>
          <w:sz w:val="21"/>
          <w:szCs w:val="21"/>
          <w:lang w:bidi="en-US"/>
        </w:rPr>
        <w:t>尿苷对照品参照物峰</w:t>
      </w:r>
      <w:r>
        <w:rPr>
          <w:rFonts w:hint="default" w:ascii="Times New Roman" w:hAnsi="Times New Roman" w:eastAsia="宋体" w:cs="Times New Roman"/>
          <w:kern w:val="0"/>
          <w:sz w:val="21"/>
          <w:szCs w:val="21"/>
          <w:lang w:bidi="en-US"/>
        </w:rPr>
        <w:t>相对应的峰为</w:t>
      </w:r>
      <w:r>
        <w:rPr>
          <w:rFonts w:hint="default" w:ascii="Times New Roman" w:hAnsi="Times New Roman" w:eastAsia="宋体" w:cs="Times New Roman"/>
          <w:kern w:val="0"/>
          <w:sz w:val="21"/>
          <w:szCs w:val="21"/>
          <w:lang w:bidi="en-US"/>
        </w:rPr>
        <w:t>S1</w:t>
      </w:r>
      <w:r>
        <w:rPr>
          <w:rFonts w:hint="default" w:ascii="Times New Roman" w:hAnsi="Times New Roman" w:eastAsia="宋体" w:cs="Times New Roman"/>
          <w:kern w:val="0"/>
          <w:sz w:val="21"/>
          <w:szCs w:val="21"/>
          <w:lang w:bidi="en-US"/>
        </w:rPr>
        <w:t>峰，计算峰</w:t>
      </w:r>
      <w:r>
        <w:rPr>
          <w:rFonts w:hint="default" w:ascii="Times New Roman" w:hAnsi="Times New Roman" w:eastAsia="宋体" w:cs="Times New Roman"/>
          <w:kern w:val="0"/>
          <w:sz w:val="21"/>
          <w:szCs w:val="21"/>
          <w:lang w:bidi="en-US"/>
        </w:rPr>
        <w:t>1</w:t>
      </w:r>
      <w:r>
        <w:rPr>
          <w:rFonts w:hint="default" w:ascii="Times New Roman" w:hAnsi="Times New Roman" w:eastAsia="宋体" w:cs="Times New Roman"/>
          <w:kern w:val="0"/>
          <w:sz w:val="21"/>
          <w:szCs w:val="21"/>
          <w:lang w:bidi="en-US"/>
        </w:rPr>
        <w:t>、峰</w:t>
      </w:r>
      <w:r>
        <w:rPr>
          <w:rFonts w:hint="default" w:ascii="Times New Roman" w:hAnsi="Times New Roman" w:eastAsia="宋体" w:cs="Times New Roman"/>
          <w:kern w:val="0"/>
          <w:sz w:val="21"/>
          <w:szCs w:val="21"/>
          <w:lang w:bidi="en-US"/>
        </w:rPr>
        <w:t>2</w:t>
      </w:r>
      <w:r>
        <w:rPr>
          <w:rFonts w:hint="default" w:ascii="Times New Roman" w:hAnsi="Times New Roman" w:eastAsia="宋体" w:cs="Times New Roman"/>
          <w:kern w:val="0"/>
          <w:sz w:val="21"/>
          <w:szCs w:val="21"/>
          <w:lang w:bidi="en-US"/>
        </w:rPr>
        <w:t>、峰</w:t>
      </w:r>
      <w:r>
        <w:rPr>
          <w:rFonts w:hint="default" w:ascii="Times New Roman" w:hAnsi="Times New Roman" w:eastAsia="宋体" w:cs="Times New Roman"/>
          <w:kern w:val="0"/>
          <w:sz w:val="21"/>
          <w:szCs w:val="21"/>
          <w:lang w:bidi="en-US"/>
        </w:rPr>
        <w:t>4</w:t>
      </w:r>
      <w:r>
        <w:rPr>
          <w:rFonts w:hint="default" w:ascii="Times New Roman" w:hAnsi="Times New Roman" w:eastAsia="宋体" w:cs="Times New Roman"/>
          <w:kern w:val="0"/>
          <w:sz w:val="21"/>
          <w:szCs w:val="21"/>
          <w:lang w:bidi="en-US"/>
        </w:rPr>
        <w:t>与</w:t>
      </w:r>
      <w:r>
        <w:rPr>
          <w:rFonts w:hint="default" w:ascii="Times New Roman" w:hAnsi="Times New Roman" w:eastAsia="宋体" w:cs="Times New Roman"/>
          <w:kern w:val="0"/>
          <w:sz w:val="21"/>
          <w:szCs w:val="21"/>
          <w:lang w:bidi="en-US"/>
        </w:rPr>
        <w:t>S1</w:t>
      </w:r>
      <w:r>
        <w:rPr>
          <w:rFonts w:hint="default" w:ascii="Times New Roman" w:hAnsi="Times New Roman" w:eastAsia="宋体" w:cs="Times New Roman"/>
          <w:kern w:val="0"/>
          <w:sz w:val="21"/>
          <w:szCs w:val="21"/>
          <w:lang w:bidi="en-US"/>
        </w:rPr>
        <w:t>峰的相对保留时间</w:t>
      </w:r>
      <w:r>
        <w:rPr>
          <w:rFonts w:hint="default" w:ascii="Times New Roman" w:hAnsi="Times New Roman" w:eastAsia="宋体" w:cs="Times New Roman"/>
          <w:kern w:val="0"/>
          <w:sz w:val="21"/>
          <w:szCs w:val="21"/>
          <w:lang w:bidi="en-US"/>
        </w:rPr>
        <w:t>；</w:t>
      </w:r>
      <w:r>
        <w:rPr>
          <w:rFonts w:hint="default" w:ascii="Times New Roman" w:hAnsi="Times New Roman" w:eastAsia="宋体" w:cs="Times New Roman"/>
          <w:kern w:val="0"/>
          <w:sz w:val="21"/>
          <w:szCs w:val="21"/>
          <w:lang w:bidi="en-US"/>
        </w:rPr>
        <w:t>与</w:t>
      </w:r>
      <w:r>
        <w:rPr>
          <w:rFonts w:hint="default" w:ascii="Times New Roman" w:hAnsi="Times New Roman" w:eastAsia="宋体" w:cs="Times New Roman"/>
          <w:kern w:val="0"/>
          <w:sz w:val="21"/>
          <w:szCs w:val="21"/>
          <w:lang w:bidi="en-US"/>
        </w:rPr>
        <w:t>鸟苷</w:t>
      </w:r>
      <w:r>
        <w:rPr>
          <w:rFonts w:hint="default" w:ascii="Times New Roman" w:hAnsi="Times New Roman" w:eastAsia="宋体" w:cs="Times New Roman"/>
          <w:kern w:val="0"/>
          <w:sz w:val="21"/>
          <w:szCs w:val="21"/>
          <w:lang w:bidi="en-US"/>
        </w:rPr>
        <w:t>对照品参照物峰</w:t>
      </w:r>
      <w:r>
        <w:rPr>
          <w:rFonts w:hint="default" w:ascii="Times New Roman" w:hAnsi="Times New Roman" w:eastAsia="宋体" w:cs="Times New Roman"/>
          <w:kern w:val="0"/>
          <w:sz w:val="21"/>
          <w:szCs w:val="21"/>
          <w:lang w:bidi="en-US"/>
        </w:rPr>
        <w:t>相对应的峰为</w:t>
      </w:r>
      <w:r>
        <w:rPr>
          <w:rFonts w:hint="default" w:ascii="Times New Roman" w:hAnsi="Times New Roman" w:eastAsia="宋体" w:cs="Times New Roman"/>
          <w:kern w:val="0"/>
          <w:sz w:val="21"/>
          <w:szCs w:val="21"/>
          <w:lang w:bidi="en-US"/>
        </w:rPr>
        <w:t>S2</w:t>
      </w:r>
      <w:r>
        <w:rPr>
          <w:rFonts w:hint="default" w:ascii="Times New Roman" w:hAnsi="Times New Roman" w:eastAsia="宋体" w:cs="Times New Roman"/>
          <w:kern w:val="0"/>
          <w:sz w:val="21"/>
          <w:szCs w:val="21"/>
          <w:lang w:bidi="en-US"/>
        </w:rPr>
        <w:t>峰，</w:t>
      </w:r>
      <w:r>
        <w:rPr>
          <w:rFonts w:hint="default" w:ascii="Times New Roman" w:hAnsi="Times New Roman" w:eastAsia="宋体" w:cs="Times New Roman"/>
          <w:sz w:val="21"/>
          <w:szCs w:val="21"/>
        </w:rPr>
        <w:t>计算峰</w:t>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lang w:eastAsia="zh-CN"/>
        </w:rPr>
        <w:t>、峰</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rPr>
        <w:t>与</w:t>
      </w:r>
      <w:r>
        <w:rPr>
          <w:rFonts w:hint="default" w:ascii="Times New Roman" w:hAnsi="Times New Roman" w:eastAsia="宋体" w:cs="Times New Roman"/>
          <w:sz w:val="21"/>
          <w:szCs w:val="21"/>
        </w:rPr>
        <w:t>S2</w:t>
      </w:r>
      <w:r>
        <w:rPr>
          <w:rFonts w:hint="default" w:ascii="Times New Roman" w:hAnsi="Times New Roman" w:eastAsia="宋体" w:cs="Times New Roman"/>
          <w:sz w:val="21"/>
          <w:szCs w:val="21"/>
        </w:rPr>
        <w:t>峰的相对保留时间</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其相对保留时间</w:t>
      </w:r>
      <w:r>
        <w:rPr>
          <w:rFonts w:hint="default" w:ascii="Times New Roman" w:hAnsi="Times New Roman" w:eastAsia="宋体" w:cs="Times New Roman"/>
          <w:sz w:val="21"/>
          <w:szCs w:val="21"/>
        </w:rPr>
        <w:t>均</w:t>
      </w:r>
      <w:r>
        <w:rPr>
          <w:rFonts w:hint="default" w:ascii="Times New Roman" w:hAnsi="Times New Roman" w:eastAsia="宋体" w:cs="Times New Roman"/>
          <w:sz w:val="21"/>
          <w:szCs w:val="21"/>
        </w:rPr>
        <w:t>应在规定值的</w:t>
      </w:r>
      <w:r>
        <w:rPr>
          <w:rFonts w:hint="default" w:ascii="Times New Roman" w:hAnsi="Times New Roman" w:eastAsia="宋体" w:cs="Times New Roman"/>
          <w:sz w:val="21"/>
          <w:szCs w:val="21"/>
        </w:rPr>
        <w:t>±10</w:t>
      </w:r>
      <w:r>
        <w:rPr>
          <w:rFonts w:hint="default" w:ascii="Times New Roman" w:hAnsi="Times New Roman" w:eastAsia="宋体" w:cs="Times New Roman"/>
          <w:sz w:val="21"/>
          <w:szCs w:val="21"/>
        </w:rPr>
        <w:t>％范围之内</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规定值为</w:t>
      </w:r>
      <w:r>
        <w:rPr>
          <w:rFonts w:hint="default" w:ascii="Times New Roman" w:hAnsi="Times New Roman" w:eastAsia="宋体" w:cs="Times New Roman"/>
          <w:kern w:val="0"/>
          <w:sz w:val="21"/>
          <w:szCs w:val="21"/>
        </w:rPr>
        <w:t>：</w:t>
      </w:r>
      <w:r>
        <w:rPr>
          <w:rFonts w:hint="default" w:ascii="Times New Roman" w:hAnsi="Times New Roman" w:eastAsia="宋体" w:cs="Times New Roman"/>
          <w:kern w:val="0"/>
          <w:sz w:val="21"/>
          <w:szCs w:val="21"/>
        </w:rPr>
        <w:t>0.</w:t>
      </w:r>
      <w:r>
        <w:rPr>
          <w:rFonts w:hint="eastAsia" w:cs="Times New Roman"/>
          <w:kern w:val="0"/>
          <w:sz w:val="21"/>
          <w:szCs w:val="21"/>
          <w:lang w:val="en-US" w:eastAsia="zh-CN"/>
        </w:rPr>
        <w:t>70</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0.</w:t>
      </w:r>
      <w:r>
        <w:rPr>
          <w:rFonts w:hint="default" w:ascii="Times New Roman" w:hAnsi="Times New Roman" w:eastAsia="宋体" w:cs="Times New Roman"/>
          <w:sz w:val="21"/>
          <w:szCs w:val="21"/>
        </w:rPr>
        <w:t>8</w:t>
      </w:r>
      <w:r>
        <w:rPr>
          <w:rFonts w:hint="eastAsia" w:cs="Times New Roman"/>
          <w:sz w:val="21"/>
          <w:szCs w:val="21"/>
          <w:lang w:val="en-US" w:eastAsia="zh-CN"/>
        </w:rPr>
        <w:t>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1.1</w:t>
      </w:r>
      <w:r>
        <w:rPr>
          <w:rFonts w:hint="eastAsia" w:cs="Times New Roman"/>
          <w:sz w:val="21"/>
          <w:szCs w:val="21"/>
          <w:lang w:val="en-US" w:eastAsia="zh-CN"/>
        </w:rPr>
        <w:t>5</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0.7</w:t>
      </w:r>
      <w:r>
        <w:rPr>
          <w:rFonts w:hint="eastAsia" w:cs="Times New Roman"/>
          <w:sz w:val="21"/>
          <w:szCs w:val="21"/>
          <w:lang w:val="en-US" w:eastAsia="zh-CN"/>
        </w:rPr>
        <w:t>5</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1.5</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rPr>
        <w:t>）。</w:t>
      </w:r>
    </w:p>
    <w:p w14:paraId="1123137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color w:val="FF0000"/>
          <w:kern w:val="0"/>
          <w:sz w:val="21"/>
          <w:szCs w:val="21"/>
          <w:highlight w:val="yellow"/>
          <w:lang w:bidi="en-US"/>
        </w:rPr>
      </w:pPr>
      <w:r>
        <w:rPr>
          <w:rFonts w:hint="default" w:ascii="Times New Roman" w:hAnsi="Times New Roman" w:eastAsia="宋体" w:cs="Times New Roman"/>
          <w:color w:val="FF0000"/>
          <w:kern w:val="0"/>
          <w:sz w:val="21"/>
          <w:szCs w:val="21"/>
        </w:rPr>
        <w:drawing>
          <wp:inline distT="0" distB="0" distL="0" distR="0">
            <wp:extent cx="4838700" cy="2095500"/>
            <wp:effectExtent l="0" t="0" r="0" b="0"/>
            <wp:docPr id="1" name="图片 1" descr="成品对照特征图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成品对照特征图谱"/>
                    <pic:cNvPicPr>
                      <a:picLocks noChangeAspect="1" noChangeArrowheads="1"/>
                    </pic:cNvPicPr>
                  </pic:nvPicPr>
                  <pic:blipFill>
                    <a:blip r:embed="rId6" cstate="print"/>
                    <a:srcRect/>
                    <a:stretch>
                      <a:fillRect/>
                    </a:stretch>
                  </pic:blipFill>
                  <pic:spPr>
                    <a:xfrm>
                      <a:off x="0" y="0"/>
                      <a:ext cx="4838700" cy="2095500"/>
                    </a:xfrm>
                    <a:prstGeom prst="rect">
                      <a:avLst/>
                    </a:prstGeom>
                    <a:noFill/>
                    <a:ln w="9525">
                      <a:noFill/>
                      <a:miter lim="800000"/>
                      <a:headEnd/>
                      <a:tailEnd/>
                    </a:ln>
                  </pic:spPr>
                </pic:pic>
              </a:graphicData>
            </a:graphic>
          </wp:inline>
        </w:drawing>
      </w:r>
    </w:p>
    <w:p w14:paraId="2382AAC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p>
    <w:p w14:paraId="48BACA5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峰1：胞苷；峰2：鸟嘌呤；峰3(S1)：尿苷；峰6(S2)：鸟苷；峰7：腺苷</w:t>
      </w:r>
    </w:p>
    <w:p w14:paraId="0122F1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色谱柱：HSS T3，4.6mm×250mm，5μm</w:t>
      </w:r>
    </w:p>
    <w:p w14:paraId="401F8962">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【检查】</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应符合颗粒剂项下有关的各项规定（中国药典2020年版通则0104）。</w:t>
      </w:r>
    </w:p>
    <w:p w14:paraId="1516A5D7">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【浸出物】</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rPr>
        <w:t>照醇溶性浸出物测定法（中国药典2020年版通则2201）项下的热浸法测定，用乙醇作溶剂，不得</w:t>
      </w:r>
      <w:r>
        <w:rPr>
          <w:rFonts w:hint="default" w:ascii="Times New Roman" w:hAnsi="Times New Roman" w:eastAsia="宋体" w:cs="Times New Roman"/>
          <w:sz w:val="21"/>
          <w:szCs w:val="21"/>
          <w:highlight w:val="none"/>
        </w:rPr>
        <w:t>少于1</w:t>
      </w:r>
      <w:r>
        <w:rPr>
          <w:rFonts w:hint="default" w:ascii="Times New Roman" w:hAnsi="Times New Roman" w:eastAsia="宋体" w:cs="Times New Roman"/>
          <w:sz w:val="21"/>
          <w:szCs w:val="21"/>
          <w:highlight w:val="none"/>
          <w:lang w:val="en-US" w:eastAsia="zh-CN"/>
        </w:rPr>
        <w:t>8</w:t>
      </w:r>
      <w:r>
        <w:rPr>
          <w:rFonts w:hint="default" w:ascii="Times New Roman" w:hAnsi="Times New Roman" w:eastAsia="宋体" w:cs="Times New Roman"/>
          <w:sz w:val="21"/>
          <w:szCs w:val="21"/>
          <w:highlight w:val="none"/>
        </w:rPr>
        <w:t>.0%。</w:t>
      </w:r>
    </w:p>
    <w:p w14:paraId="477913BC">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【含量测定】</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sz w:val="21"/>
          <w:szCs w:val="21"/>
        </w:rPr>
        <w:t>照高效液相色谱法（中国药典2020年版通则0512）测定。</w:t>
      </w:r>
    </w:p>
    <w:p w14:paraId="2B86D767">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色谱条件与系统适用性试验</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以十八烷基硅烷键合硅胶为填充剂（柱长为</w:t>
      </w:r>
      <w:r>
        <w:rPr>
          <w:rFonts w:hint="default" w:ascii="Times New Roman" w:hAnsi="Times New Roman" w:eastAsia="宋体" w:cs="Times New Roman"/>
          <w:sz w:val="21"/>
          <w:szCs w:val="21"/>
        </w:rPr>
        <w:t>250mm</w:t>
      </w:r>
      <w:r>
        <w:rPr>
          <w:rFonts w:hint="default" w:ascii="Times New Roman" w:hAnsi="Times New Roman" w:eastAsia="宋体" w:cs="Times New Roman"/>
          <w:sz w:val="21"/>
          <w:szCs w:val="21"/>
        </w:rPr>
        <w:t>，内径为</w:t>
      </w:r>
      <w:r>
        <w:rPr>
          <w:rFonts w:hint="default" w:ascii="Times New Roman" w:hAnsi="Times New Roman" w:eastAsia="宋体" w:cs="Times New Roman"/>
          <w:sz w:val="21"/>
          <w:szCs w:val="21"/>
        </w:rPr>
        <w:t>4.6mm</w:t>
      </w:r>
      <w:r>
        <w:rPr>
          <w:rFonts w:hint="default" w:ascii="Times New Roman" w:hAnsi="Times New Roman" w:eastAsia="宋体" w:cs="Times New Roman"/>
          <w:sz w:val="21"/>
          <w:szCs w:val="21"/>
        </w:rPr>
        <w:t>，粒径为</w:t>
      </w:r>
      <w:r>
        <w:rPr>
          <w:rFonts w:hint="default" w:ascii="Times New Roman" w:hAnsi="Times New Roman" w:eastAsia="宋体" w:cs="Times New Roman"/>
          <w:sz w:val="21"/>
          <w:szCs w:val="21"/>
        </w:rPr>
        <w:t>5μm</w:t>
      </w:r>
      <w:r>
        <w:rPr>
          <w:rFonts w:hint="default" w:ascii="Times New Roman" w:hAnsi="Times New Roman" w:eastAsia="宋体" w:cs="Times New Roman"/>
          <w:sz w:val="21"/>
          <w:szCs w:val="21"/>
        </w:rPr>
        <w:t>）；以甲醇为流动相</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以水为流动相</w:t>
      </w:r>
      <w:r>
        <w:rPr>
          <w:rFonts w:hint="default" w:ascii="Times New Roman" w:hAnsi="Times New Roman" w:eastAsia="宋体" w:cs="Times New Roman"/>
          <w:sz w:val="21"/>
          <w:szCs w:val="21"/>
        </w:rPr>
        <w:t>B</w:t>
      </w:r>
      <w:r>
        <w:rPr>
          <w:rFonts w:hint="default" w:ascii="Times New Roman" w:hAnsi="Times New Roman" w:eastAsia="宋体" w:cs="Times New Roman"/>
          <w:sz w:val="21"/>
          <w:szCs w:val="21"/>
        </w:rPr>
        <w:t>，按下表中的规定进行梯度洗脱</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流速为</w:t>
      </w:r>
      <w:r>
        <w:rPr>
          <w:rFonts w:hint="default" w:ascii="Times New Roman" w:hAnsi="Times New Roman" w:eastAsia="宋体" w:cs="Times New Roman"/>
          <w:sz w:val="21"/>
          <w:szCs w:val="21"/>
        </w:rPr>
        <w:t>每分钟</w:t>
      </w:r>
      <w:r>
        <w:rPr>
          <w:rFonts w:hint="default" w:ascii="Times New Roman" w:hAnsi="Times New Roman" w:eastAsia="宋体" w:cs="Times New Roman"/>
          <w:sz w:val="21"/>
          <w:szCs w:val="21"/>
        </w:rPr>
        <w:t>1.0ml</w:t>
      </w:r>
      <w:r>
        <w:rPr>
          <w:rFonts w:hint="default" w:ascii="Times New Roman" w:hAnsi="Times New Roman" w:eastAsia="宋体" w:cs="Times New Roman"/>
          <w:sz w:val="21"/>
          <w:szCs w:val="21"/>
        </w:rPr>
        <w:t>；柱温为</w:t>
      </w:r>
      <w:r>
        <w:rPr>
          <w:rFonts w:hint="default" w:ascii="Times New Roman" w:hAnsi="Times New Roman" w:eastAsia="宋体" w:cs="Times New Roman"/>
          <w:sz w:val="21"/>
          <w:szCs w:val="21"/>
        </w:rPr>
        <w:t>30</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；检测波长为</w:t>
      </w:r>
      <w:r>
        <w:rPr>
          <w:rFonts w:hint="default" w:ascii="Times New Roman" w:hAnsi="Times New Roman" w:eastAsia="宋体" w:cs="Times New Roman"/>
          <w:sz w:val="21"/>
          <w:szCs w:val="21"/>
        </w:rPr>
        <w:t>260nm。</w:t>
      </w:r>
      <w:r>
        <w:rPr>
          <w:rFonts w:hint="default" w:ascii="Times New Roman" w:hAnsi="Times New Roman" w:eastAsia="宋体" w:cs="Times New Roman"/>
          <w:sz w:val="21"/>
          <w:szCs w:val="21"/>
        </w:rPr>
        <w:t>理论板数按腺苷</w:t>
      </w:r>
      <w:r>
        <w:rPr>
          <w:rFonts w:hint="default" w:ascii="Times New Roman" w:hAnsi="Times New Roman" w:eastAsia="宋体" w:cs="Times New Roman"/>
          <w:sz w:val="21"/>
          <w:szCs w:val="21"/>
        </w:rPr>
        <w:t>峰</w:t>
      </w:r>
      <w:r>
        <w:rPr>
          <w:rFonts w:hint="default" w:ascii="Times New Roman" w:hAnsi="Times New Roman" w:eastAsia="宋体" w:cs="Times New Roman"/>
          <w:sz w:val="21"/>
          <w:szCs w:val="21"/>
        </w:rPr>
        <w:t>计算应不低于</w:t>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t>000</w:t>
      </w:r>
      <w:r>
        <w:rPr>
          <w:rFonts w:hint="default" w:ascii="Times New Roman" w:hAnsi="Times New Roman" w:eastAsia="宋体" w:cs="Times New Roman"/>
          <w:sz w:val="21"/>
          <w:szCs w:val="21"/>
        </w:rPr>
        <w:t>。</w:t>
      </w:r>
    </w:p>
    <w:tbl>
      <w:tblPr>
        <w:tblStyle w:val="7"/>
        <w:tblW w:w="8163"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1"/>
        <w:gridCol w:w="2721"/>
        <w:gridCol w:w="2721"/>
      </w:tblGrid>
      <w:tr w14:paraId="63F684D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auto" w:sz="12" w:space="0"/>
              <w:bottom w:val="single" w:color="auto" w:sz="4" w:space="0"/>
            </w:tcBorders>
            <w:vAlign w:val="center"/>
          </w:tcPr>
          <w:p w14:paraId="5593EE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2721" w:type="dxa"/>
            <w:tcBorders>
              <w:top w:val="single" w:color="auto" w:sz="12" w:space="0"/>
              <w:bottom w:val="single" w:color="auto" w:sz="4" w:space="0"/>
            </w:tcBorders>
            <w:vAlign w:val="center"/>
          </w:tcPr>
          <w:p w14:paraId="14310E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2721" w:type="dxa"/>
            <w:tcBorders>
              <w:top w:val="single" w:color="auto" w:sz="12" w:space="0"/>
              <w:bottom w:val="single" w:color="auto" w:sz="4" w:space="0"/>
            </w:tcBorders>
            <w:vAlign w:val="center"/>
          </w:tcPr>
          <w:p w14:paraId="134054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6C9ACB6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single" w:color="auto" w:sz="4" w:space="0"/>
              <w:bottom w:val="nil"/>
            </w:tcBorders>
            <w:vAlign w:val="center"/>
          </w:tcPr>
          <w:p w14:paraId="21575A5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0～18</w:t>
            </w:r>
          </w:p>
        </w:tc>
        <w:tc>
          <w:tcPr>
            <w:tcW w:w="2721" w:type="dxa"/>
            <w:tcBorders>
              <w:top w:val="single" w:color="auto" w:sz="4" w:space="0"/>
            </w:tcBorders>
            <w:vAlign w:val="center"/>
          </w:tcPr>
          <w:p w14:paraId="01E305F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w:t>
            </w:r>
          </w:p>
        </w:tc>
        <w:tc>
          <w:tcPr>
            <w:tcW w:w="2721" w:type="dxa"/>
            <w:tcBorders>
              <w:top w:val="single" w:color="auto" w:sz="4" w:space="0"/>
            </w:tcBorders>
            <w:vAlign w:val="center"/>
          </w:tcPr>
          <w:p w14:paraId="3ABBD4B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98</w:t>
            </w:r>
          </w:p>
        </w:tc>
      </w:tr>
      <w:tr w14:paraId="3E0D5DA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nil"/>
            </w:tcBorders>
            <w:vAlign w:val="center"/>
          </w:tcPr>
          <w:p w14:paraId="75F9FB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18～28</w:t>
            </w:r>
          </w:p>
        </w:tc>
        <w:tc>
          <w:tcPr>
            <w:tcW w:w="2721" w:type="dxa"/>
            <w:vAlign w:val="center"/>
          </w:tcPr>
          <w:p w14:paraId="522A38D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2→9</w:t>
            </w:r>
          </w:p>
        </w:tc>
        <w:tc>
          <w:tcPr>
            <w:tcW w:w="2721" w:type="dxa"/>
            <w:vAlign w:val="center"/>
          </w:tcPr>
          <w:p w14:paraId="15CC4A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98→91</w:t>
            </w:r>
          </w:p>
        </w:tc>
      </w:tr>
      <w:tr w14:paraId="76826BE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nil"/>
            </w:tcBorders>
            <w:vAlign w:val="center"/>
          </w:tcPr>
          <w:p w14:paraId="2EC3A48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28～43</w:t>
            </w:r>
          </w:p>
        </w:tc>
        <w:tc>
          <w:tcPr>
            <w:tcW w:w="2721" w:type="dxa"/>
            <w:tcBorders>
              <w:bottom w:val="nil"/>
            </w:tcBorders>
            <w:vAlign w:val="center"/>
          </w:tcPr>
          <w:p w14:paraId="415758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9→13.5</w:t>
            </w:r>
          </w:p>
        </w:tc>
        <w:tc>
          <w:tcPr>
            <w:tcW w:w="2721" w:type="dxa"/>
            <w:tcBorders>
              <w:bottom w:val="nil"/>
            </w:tcBorders>
            <w:vAlign w:val="center"/>
          </w:tcPr>
          <w:p w14:paraId="0087247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91→86.5</w:t>
            </w:r>
          </w:p>
        </w:tc>
      </w:tr>
      <w:tr w14:paraId="12BE22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721" w:type="dxa"/>
            <w:tcBorders>
              <w:top w:val="nil"/>
              <w:bottom w:val="single" w:color="auto" w:sz="12" w:space="0"/>
            </w:tcBorders>
            <w:vAlign w:val="center"/>
          </w:tcPr>
          <w:p w14:paraId="535A22D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43～50</w:t>
            </w:r>
          </w:p>
        </w:tc>
        <w:tc>
          <w:tcPr>
            <w:tcW w:w="2721" w:type="dxa"/>
            <w:tcBorders>
              <w:top w:val="nil"/>
              <w:bottom w:val="single" w:color="auto" w:sz="12" w:space="0"/>
            </w:tcBorders>
            <w:vAlign w:val="center"/>
          </w:tcPr>
          <w:p w14:paraId="43415A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13.5</w:t>
            </w:r>
          </w:p>
        </w:tc>
        <w:tc>
          <w:tcPr>
            <w:tcW w:w="2721" w:type="dxa"/>
            <w:tcBorders>
              <w:top w:val="nil"/>
              <w:bottom w:val="single" w:color="auto" w:sz="12" w:space="0"/>
            </w:tcBorders>
            <w:vAlign w:val="center"/>
          </w:tcPr>
          <w:p w14:paraId="1ADCB57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86.5</w:t>
            </w:r>
          </w:p>
        </w:tc>
      </w:tr>
    </w:tbl>
    <w:p w14:paraId="7862545D">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sz w:val="21"/>
          <w:szCs w:val="21"/>
        </w:rPr>
        <w:t>对照品溶液制备</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取尿苷对照品</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腺苷对照品适量，精密称定，加20%甲醇制成每1ml</w:t>
      </w:r>
      <w:r>
        <w:rPr>
          <w:rFonts w:hint="default" w:ascii="Times New Roman" w:hAnsi="Times New Roman" w:eastAsia="宋体" w:cs="Times New Roman"/>
          <w:sz w:val="21"/>
          <w:szCs w:val="21"/>
        </w:rPr>
        <w:t>各</w:t>
      </w:r>
      <w:r>
        <w:rPr>
          <w:rFonts w:hint="default" w:ascii="Times New Roman" w:hAnsi="Times New Roman" w:eastAsia="宋体" w:cs="Times New Roman"/>
          <w:sz w:val="21"/>
          <w:szCs w:val="21"/>
        </w:rPr>
        <w:t>含40µg的</w:t>
      </w:r>
      <w:r>
        <w:rPr>
          <w:rFonts w:hint="default" w:ascii="Times New Roman" w:hAnsi="Times New Roman" w:eastAsia="宋体" w:cs="Times New Roman"/>
          <w:sz w:val="21"/>
          <w:szCs w:val="21"/>
        </w:rPr>
        <w:t>混合</w:t>
      </w:r>
      <w:r>
        <w:rPr>
          <w:rFonts w:hint="default" w:ascii="Times New Roman" w:hAnsi="Times New Roman" w:eastAsia="宋体" w:cs="Times New Roman"/>
          <w:sz w:val="21"/>
          <w:szCs w:val="21"/>
        </w:rPr>
        <w:t>溶液，即得。</w:t>
      </w:r>
    </w:p>
    <w:p w14:paraId="5F739819">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color w:val="000000"/>
          <w:sz w:val="21"/>
          <w:szCs w:val="21"/>
        </w:rPr>
        <w:t>供试品溶液制备</w:t>
      </w:r>
      <w:r>
        <w:rPr>
          <w:rFonts w:hint="default"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bCs/>
          <w:sz w:val="21"/>
          <w:szCs w:val="21"/>
        </w:rPr>
        <w:t>取本品适量，研细，取约0.5g，精密称定，置具塞锥形瓶中，</w:t>
      </w:r>
      <w:r>
        <w:rPr>
          <w:rFonts w:hint="default" w:ascii="Times New Roman" w:hAnsi="Times New Roman" w:eastAsia="宋体" w:cs="Times New Roman"/>
          <w:bCs/>
          <w:sz w:val="21"/>
          <w:szCs w:val="21"/>
        </w:rPr>
        <w:t>精密</w:t>
      </w:r>
      <w:r>
        <w:rPr>
          <w:rFonts w:hint="default" w:ascii="Times New Roman" w:hAnsi="Times New Roman" w:eastAsia="宋体" w:cs="Times New Roman"/>
          <w:bCs/>
          <w:sz w:val="21"/>
          <w:szCs w:val="21"/>
        </w:rPr>
        <w:t>加入20%甲醇20ml，</w:t>
      </w:r>
      <w:r>
        <w:rPr>
          <w:rFonts w:hint="default" w:ascii="Times New Roman" w:hAnsi="Times New Roman" w:eastAsia="宋体" w:cs="Times New Roman"/>
          <w:bCs/>
          <w:sz w:val="21"/>
          <w:szCs w:val="21"/>
        </w:rPr>
        <w:t>密塞，</w:t>
      </w:r>
      <w:r>
        <w:rPr>
          <w:rFonts w:hint="default" w:ascii="Times New Roman" w:hAnsi="Times New Roman" w:eastAsia="宋体" w:cs="Times New Roman"/>
          <w:bCs/>
          <w:sz w:val="21"/>
          <w:szCs w:val="21"/>
        </w:rPr>
        <w:t>称定重量，超声处理</w:t>
      </w: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rPr>
        <w:t>功率600W，频率40kHz</w:t>
      </w: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rPr>
        <w:t>30分钟，</w:t>
      </w:r>
      <w:r>
        <w:rPr>
          <w:rFonts w:hint="default" w:ascii="Times New Roman" w:hAnsi="Times New Roman" w:eastAsia="宋体" w:cs="Times New Roman"/>
          <w:bCs/>
          <w:sz w:val="21"/>
          <w:szCs w:val="21"/>
        </w:rPr>
        <w:t>取出，</w:t>
      </w:r>
      <w:r>
        <w:rPr>
          <w:rFonts w:hint="default" w:ascii="Times New Roman" w:hAnsi="Times New Roman" w:eastAsia="宋体" w:cs="Times New Roman"/>
          <w:bCs/>
          <w:sz w:val="21"/>
          <w:szCs w:val="21"/>
        </w:rPr>
        <w:t>放冷，</w:t>
      </w:r>
      <w:r>
        <w:rPr>
          <w:rFonts w:hint="default" w:ascii="Times New Roman" w:hAnsi="Times New Roman" w:eastAsia="宋体" w:cs="Times New Roman"/>
          <w:sz w:val="21"/>
          <w:szCs w:val="21"/>
        </w:rPr>
        <w:t>再称定重量，用20%甲醇补足减失的重量，摇匀，滤过，取续滤液，即得</w:t>
      </w:r>
      <w:r>
        <w:rPr>
          <w:rFonts w:hint="default" w:ascii="Times New Roman" w:hAnsi="Times New Roman" w:eastAsia="宋体" w:cs="Times New Roman"/>
          <w:color w:val="000000"/>
          <w:sz w:val="21"/>
          <w:szCs w:val="21"/>
        </w:rPr>
        <w:t>。</w:t>
      </w:r>
    </w:p>
    <w:p w14:paraId="49065E1A">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测定法</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sz w:val="21"/>
          <w:szCs w:val="21"/>
        </w:rPr>
        <w:t>分别精密吸取对照品溶液与供试品溶液各10µl，注入液相色谱仪，测定，即得。</w:t>
      </w:r>
    </w:p>
    <w:p w14:paraId="568EB263">
      <w:pPr>
        <w:keepNext w:val="0"/>
        <w:keepLines w:val="0"/>
        <w:pageBreakBefore w:val="0"/>
        <w:kinsoku/>
        <w:wordWrap/>
        <w:overflowPunct/>
        <w:topLinePunct w:val="0"/>
        <w:autoSpaceDE/>
        <w:autoSpaceDN/>
        <w:bidi w:val="0"/>
        <w:adjustRightInd/>
        <w:snapToGrid/>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本品每</w:t>
      </w:r>
      <w:r>
        <w:rPr>
          <w:rFonts w:hint="default" w:ascii="Times New Roman" w:hAnsi="Times New Roman" w:eastAsia="宋体" w:cs="Times New Roman"/>
          <w:sz w:val="21"/>
          <w:szCs w:val="21"/>
        </w:rPr>
        <w:t>1g</w:t>
      </w:r>
      <w:r>
        <w:rPr>
          <w:rFonts w:hint="default" w:ascii="Times New Roman" w:hAnsi="Times New Roman" w:eastAsia="宋体" w:cs="Times New Roman"/>
          <w:sz w:val="21"/>
          <w:szCs w:val="21"/>
        </w:rPr>
        <w:t>含尿苷（</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9</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12</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）和腺苷（</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10</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13</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）的总量应为</w:t>
      </w:r>
      <w:r>
        <w:rPr>
          <w:rFonts w:hint="default" w:ascii="Times New Roman" w:hAnsi="Times New Roman" w:eastAsia="宋体" w:cs="Times New Roman"/>
          <w:sz w:val="21"/>
          <w:szCs w:val="21"/>
        </w:rPr>
        <w:t>0.75mg~2.30mg。</w:t>
      </w:r>
    </w:p>
    <w:p w14:paraId="76A484D6">
      <w:pPr>
        <w:keepNext w:val="0"/>
        <w:keepLines w:val="0"/>
        <w:pageBreakBefore w:val="0"/>
        <w:kinsoku/>
        <w:wordWrap/>
        <w:overflowPunct/>
        <w:topLinePunct w:val="0"/>
        <w:autoSpaceDE/>
        <w:autoSpaceDN/>
        <w:bidi w:val="0"/>
        <w:adjustRightInd/>
        <w:snapToGrid/>
        <w:ind w:firstLine="422" w:firstLineChars="200"/>
        <w:jc w:val="both"/>
        <w:textAlignment w:val="auto"/>
        <w:outlineLvl w:val="0"/>
        <w:rPr>
          <w:rFonts w:hint="default" w:ascii="Times New Roman" w:hAnsi="Times New Roman" w:eastAsia="宋体" w:cs="Times New Roman"/>
          <w:sz w:val="21"/>
          <w:szCs w:val="21"/>
          <w:lang w:eastAsia="zh-CN"/>
        </w:rPr>
      </w:pPr>
      <w:r>
        <w:rPr>
          <w:rFonts w:hint="default" w:ascii="Times New Roman" w:hAnsi="Times New Roman" w:eastAsia="宋体" w:cs="Times New Roman"/>
          <w:b/>
          <w:sz w:val="21"/>
          <w:szCs w:val="21"/>
        </w:rPr>
        <w:t>【规格】</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每1g配方颗粒相当于饮片7g</w:t>
      </w:r>
      <w:bookmarkStart w:id="0" w:name="_GoBack"/>
      <w:bookmarkEnd w:id="0"/>
    </w:p>
    <w:p w14:paraId="2AF05AA7">
      <w:pPr>
        <w:keepNext w:val="0"/>
        <w:keepLines w:val="0"/>
        <w:pageBreakBefore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【贮藏】</w:t>
      </w:r>
      <w:r>
        <w:rPr>
          <w:rFonts w:hint="eastAsia" w:cs="Times New Roman"/>
          <w:b/>
          <w:bCs/>
          <w:sz w:val="21"/>
          <w:szCs w:val="21"/>
          <w:lang w:val="en-US" w:eastAsia="zh-CN"/>
        </w:rPr>
        <w:t xml:space="preserve"> </w:t>
      </w:r>
      <w:r>
        <w:rPr>
          <w:rFonts w:hint="default" w:ascii="Times New Roman" w:hAnsi="Times New Roman" w:eastAsia="宋体" w:cs="Times New Roman"/>
          <w:sz w:val="21"/>
          <w:szCs w:val="21"/>
        </w:rPr>
        <w:t>密封。</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ZmMmNkZWYwMmY2M2MxY2VjOWU3ODQ1ZTNhZDRhNGYifQ=="/>
  </w:docVars>
  <w:rsids>
    <w:rsidRoot w:val="001D6F98"/>
    <w:rsid w:val="000706E1"/>
    <w:rsid w:val="001D6F98"/>
    <w:rsid w:val="004171B5"/>
    <w:rsid w:val="009321CB"/>
    <w:rsid w:val="00AA4312"/>
    <w:rsid w:val="00E864DE"/>
    <w:rsid w:val="09AC6DE1"/>
    <w:rsid w:val="0A264CE3"/>
    <w:rsid w:val="183F48C2"/>
    <w:rsid w:val="188602D4"/>
    <w:rsid w:val="2AD7158C"/>
    <w:rsid w:val="2FC555E1"/>
    <w:rsid w:val="301966EF"/>
    <w:rsid w:val="322F6BC5"/>
    <w:rsid w:val="3B5B5607"/>
    <w:rsid w:val="47AA4D0C"/>
    <w:rsid w:val="4EDE412D"/>
    <w:rsid w:val="557D3371"/>
    <w:rsid w:val="66320B8F"/>
    <w:rsid w:val="690A194F"/>
    <w:rsid w:val="6B403D4E"/>
    <w:rsid w:val="77DE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1"/>
    <w:semiHidden/>
    <w:unhideWhenUsed/>
    <w:qFormat/>
    <w:uiPriority w:val="99"/>
    <w:rPr>
      <w:rFonts w:ascii="宋体"/>
      <w:sz w:val="18"/>
      <w:szCs w:val="18"/>
    </w:rPr>
  </w:style>
  <w:style w:type="paragraph" w:styleId="4">
    <w:name w:val="Balloon Text"/>
    <w:basedOn w:val="1"/>
    <w:link w:val="12"/>
    <w:semiHidden/>
    <w:unhideWhenUsed/>
    <w:qFormat/>
    <w:uiPriority w:val="99"/>
    <w:pPr>
      <w:spacing w:line="240" w:lineRule="auto"/>
    </w:pPr>
    <w:rPr>
      <w:sz w:val="18"/>
      <w:szCs w:val="18"/>
    </w:rPr>
  </w:style>
  <w:style w:type="paragraph" w:styleId="5">
    <w:name w:val="footer"/>
    <w:basedOn w:val="1"/>
    <w:link w:val="10"/>
    <w:semiHidden/>
    <w:unhideWhenUsed/>
    <w:qFormat/>
    <w:uiPriority w:val="99"/>
    <w:pPr>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6">
    <w:name w:val="header"/>
    <w:basedOn w:val="1"/>
    <w:link w:val="9"/>
    <w:unhideWhenUsed/>
    <w:qFormat/>
    <w:uiPriority w:val="99"/>
    <w:pP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kern w:val="2"/>
      <w:sz w:val="18"/>
      <w:szCs w:val="18"/>
    </w:rPr>
  </w:style>
  <w:style w:type="character" w:customStyle="1" w:styleId="10">
    <w:name w:val="页脚 Char"/>
    <w:basedOn w:val="8"/>
    <w:link w:val="5"/>
    <w:semiHidden/>
    <w:qFormat/>
    <w:uiPriority w:val="99"/>
    <w:rPr>
      <w:sz w:val="18"/>
      <w:szCs w:val="18"/>
    </w:rPr>
  </w:style>
  <w:style w:type="character" w:customStyle="1" w:styleId="11">
    <w:name w:val="文档结构图 Char"/>
    <w:basedOn w:val="8"/>
    <w:link w:val="3"/>
    <w:semiHidden/>
    <w:qFormat/>
    <w:uiPriority w:val="99"/>
    <w:rPr>
      <w:rFonts w:ascii="宋体" w:hAnsi="Times New Roman" w:eastAsia="宋体" w:cs="Times New Roman"/>
      <w:sz w:val="18"/>
      <w:szCs w:val="18"/>
    </w:rPr>
  </w:style>
  <w:style w:type="character" w:customStyle="1" w:styleId="12">
    <w:name w:val="批注框文本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1391</Words>
  <Characters>1701</Characters>
  <Lines>12</Lines>
  <Paragraphs>3</Paragraphs>
  <TotalTime>27</TotalTime>
  <ScaleCrop>false</ScaleCrop>
  <LinksUpToDate>false</LinksUpToDate>
  <CharactersWithSpaces>1734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2024-08-12T01:18:00Z</dcterms:created>
  <dc:creator>guxinyue</dc:creator>
  <cp:lastModifiedBy>爱迪生1990</cp:lastModifiedBy>
  <dcterms:modified xsi:type="dcterms:W3CDTF">2024-09-13T10:31:48Z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C2081CDBA56C4C0CA716CAB4D89CCE65_12</vt:lpwstr>
  </property>
</Properties>
</file>